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1173" w14:textId="77777777" w:rsidR="005822E1" w:rsidRDefault="00EC509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inline distT="0" distB="0" distL="0" distR="0" wp14:anchorId="766F118C" wp14:editId="766F118D">
            <wp:extent cx="2419350" cy="7567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-logo-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41" cy="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______________________________________________________________________________</w:t>
      </w:r>
    </w:p>
    <w:p w14:paraId="766F1174" w14:textId="77777777" w:rsidR="005822E1" w:rsidRDefault="00EC509A">
      <w:pPr>
        <w:spacing w:after="120" w:line="3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Speaker’s Bureau Topics</w:t>
      </w:r>
    </w:p>
    <w:p w14:paraId="766F1175" w14:textId="77777777" w:rsidR="005822E1" w:rsidRDefault="00EC509A">
      <w:p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David Husman, President and Principal Consultant of David Husman Consulting, is available to speak on a variety of compliance and quality </w:t>
      </w:r>
      <w:r>
        <w:rPr>
          <w:rFonts w:ascii="Times New Roman" w:eastAsia="Times New Roman" w:hAnsi="Times New Roman" w:cs="Times New Roman"/>
          <w:sz w:val="24"/>
          <w:szCs w:val="24"/>
        </w:rPr>
        <w:t>system topics. David is established as an effective trainer, with over 30 years of international experience in the pharmaceutical, biopharmaceutical, and bio tech fields. He has presented</w:t>
      </w:r>
      <w:r>
        <w:rPr>
          <w:rFonts w:ascii="Times New Roman" w:hAnsi="Times New Roman" w:cs="Times New Roman"/>
          <w:sz w:val="24"/>
          <w:szCs w:val="24"/>
        </w:rPr>
        <w:t xml:space="preserve"> at several conferences, including SQA, RAPS, and IVT. </w:t>
      </w:r>
    </w:p>
    <w:p w14:paraId="766F1176" w14:textId="77777777" w:rsidR="005822E1" w:rsidRDefault="00EC509A">
      <w:p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is tailored to meet specific needs – from one-on-one to large groups. It can be delivered via on-site training, webinars, or through conferences. Common topics are listed below, but if you have a specific need, please contact us at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david@davidhusmanconsulting.com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864</w:t>
      </w:r>
      <w:r>
        <w:rPr>
          <w:rFonts w:ascii="Times New Roman" w:hAnsi="Times New Roman" w:cs="Times New Roman"/>
          <w:sz w:val="24"/>
          <w:szCs w:val="24"/>
        </w:rPr>
        <w:noBreakHyphen/>
        <w:t>877</w:t>
      </w:r>
      <w:r>
        <w:rPr>
          <w:rFonts w:ascii="Times New Roman" w:hAnsi="Times New Roman" w:cs="Times New Roman"/>
          <w:sz w:val="24"/>
          <w:szCs w:val="24"/>
        </w:rPr>
        <w:noBreakHyphen/>
        <w:t>9208.</w:t>
      </w:r>
    </w:p>
    <w:p w14:paraId="766F1177" w14:textId="77777777" w:rsidR="005822E1" w:rsidRDefault="00EC509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topics include, but are not limited to:  </w:t>
      </w:r>
    </w:p>
    <w:p w14:paraId="766F1178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 Compliant Laboratory – From Foundation to Business Excellence</w:t>
      </w:r>
    </w:p>
    <w:p w14:paraId="766F1179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Management – Managing Effective Change and Eliminating Unwanted Changes</w:t>
      </w:r>
    </w:p>
    <w:p w14:paraId="766F117A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Integrity – How to Conduct Data Integrity Investigation Interviews</w:t>
      </w:r>
    </w:p>
    <w:p w14:paraId="766F117B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Integrity and Compliance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It’s Not New and So Much More than Just Computers</w:t>
      </w:r>
    </w:p>
    <w:p w14:paraId="766F117C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 Management – Investigations to Root Cause Analysis</w:t>
      </w:r>
    </w:p>
    <w:p w14:paraId="766F117D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 Management – Why Have We Not Solved the Problem?</w:t>
      </w:r>
    </w:p>
    <w:p w14:paraId="766F117E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 Management – Workshop – Training for the Principal Investigator</w:t>
      </w:r>
    </w:p>
    <w:p w14:paraId="7A54F622" w14:textId="5432E586" w:rsidR="00EC509A" w:rsidRDefault="00254DB1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EC509A">
        <w:rPr>
          <w:rFonts w:ascii="Times New Roman" w:hAnsi="Times New Roman" w:cs="Times New Roman"/>
          <w:sz w:val="24"/>
          <w:szCs w:val="24"/>
        </w:rPr>
        <w:t>Diligence – A Quality Perspective</w:t>
      </w:r>
    </w:p>
    <w:p w14:paraId="766F117F" w14:textId="0DFE92DE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Good Manufacturing Practices (GMP): Developing a Compliance Mindset</w:t>
      </w:r>
    </w:p>
    <w:p w14:paraId="766F1180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(Professional) Laboratory Practices</w:t>
      </w:r>
    </w:p>
    <w:p w14:paraId="766F1181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Documentation Practices</w:t>
      </w:r>
    </w:p>
    <w:p w14:paraId="766F1182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Host a Regulator – the Do’s and Don’ts</w:t>
      </w:r>
    </w:p>
    <w:p w14:paraId="766F1183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– Leadership to Ensure Quality; Project Management to Ensure Effective Change</w:t>
      </w:r>
    </w:p>
    <w:p w14:paraId="766F1184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Controls</w:t>
      </w:r>
    </w:p>
    <w:p w14:paraId="766F1185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Documentation and SOPs to Ensure </w:t>
      </w:r>
      <w:r>
        <w:rPr>
          <w:rFonts w:ascii="Times New Roman" w:hAnsi="Times New Roman" w:cs="Times New Roman"/>
          <w:sz w:val="24"/>
          <w:szCs w:val="24"/>
        </w:rPr>
        <w:t>Laboratory Compliance</w:t>
      </w:r>
    </w:p>
    <w:p w14:paraId="766F1186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Programs – Developing an Integrated Approach</w:t>
      </w:r>
    </w:p>
    <w:p w14:paraId="766F1187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Management – Regulations and System Requirements</w:t>
      </w:r>
    </w:p>
    <w:p w14:paraId="766F1188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 – A Process-Flow Approach to Converting a Guidance into an SOP</w:t>
      </w:r>
    </w:p>
    <w:p w14:paraId="766F1189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of the Consultant</w:t>
      </w:r>
    </w:p>
    <w:p w14:paraId="766F118A" w14:textId="77777777" w:rsidR="005822E1" w:rsidRDefault="00EC509A">
      <w:pPr>
        <w:pStyle w:val="ListParagraph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– Ensuring Staff Training, Education, and Experience</w:t>
      </w:r>
    </w:p>
    <w:p w14:paraId="766F118B" w14:textId="77777777" w:rsidR="005822E1" w:rsidRDefault="005822E1">
      <w:pPr>
        <w:spacing w:after="0" w:line="320" w:lineRule="exac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sectPr w:rsidR="0058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1190" w14:textId="77777777" w:rsidR="005822E1" w:rsidRDefault="00EC509A">
      <w:pPr>
        <w:spacing w:after="0" w:line="240" w:lineRule="auto"/>
      </w:pPr>
      <w:r>
        <w:separator/>
      </w:r>
    </w:p>
  </w:endnote>
  <w:endnote w:type="continuationSeparator" w:id="0">
    <w:p w14:paraId="766F1191" w14:textId="77777777" w:rsidR="005822E1" w:rsidRDefault="00EC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4" w14:textId="77777777" w:rsidR="005822E1" w:rsidRDefault="0058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5" w14:textId="77777777" w:rsidR="005822E1" w:rsidRDefault="00EC509A">
    <w:pPr>
      <w:pStyle w:val="Footer"/>
      <w:rPr>
        <w:i/>
        <w:color w:val="1F497D" w:themeColor="text2"/>
        <w:sz w:val="18"/>
        <w:szCs w:val="18"/>
      </w:rPr>
    </w:pPr>
    <w:r>
      <w:rPr>
        <w:i/>
        <w:color w:val="1F497D" w:themeColor="text2"/>
        <w:sz w:val="18"/>
        <w:szCs w:val="18"/>
      </w:rPr>
      <w:t>David Husman Consulting ● 102 W. McElhaney Road ● Taylors, SC 29687 ● davidhusmanconsulting.com ● 864-877-9208</w:t>
    </w:r>
  </w:p>
  <w:p w14:paraId="766F1196" w14:textId="77777777" w:rsidR="005822E1" w:rsidRDefault="00582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8" w14:textId="77777777" w:rsidR="005822E1" w:rsidRDefault="0058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118E" w14:textId="77777777" w:rsidR="005822E1" w:rsidRDefault="00EC509A">
      <w:pPr>
        <w:spacing w:after="0" w:line="240" w:lineRule="auto"/>
      </w:pPr>
      <w:r>
        <w:separator/>
      </w:r>
    </w:p>
  </w:footnote>
  <w:footnote w:type="continuationSeparator" w:id="0">
    <w:p w14:paraId="766F118F" w14:textId="77777777" w:rsidR="005822E1" w:rsidRDefault="00EC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2" w14:textId="77777777" w:rsidR="005822E1" w:rsidRDefault="0058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3" w14:textId="77777777" w:rsidR="005822E1" w:rsidRDefault="0058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197" w14:textId="77777777" w:rsidR="005822E1" w:rsidRDefault="0058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7D0"/>
    <w:multiLevelType w:val="hybridMultilevel"/>
    <w:tmpl w:val="B30E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0561"/>
    <w:multiLevelType w:val="hybridMultilevel"/>
    <w:tmpl w:val="77A8C912"/>
    <w:lvl w:ilvl="0" w:tplc="5D4A7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7564"/>
    <w:multiLevelType w:val="hybridMultilevel"/>
    <w:tmpl w:val="7E0E6322"/>
    <w:lvl w:ilvl="0" w:tplc="68DAF9B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1200136">
    <w:abstractNumId w:val="1"/>
  </w:num>
  <w:num w:numId="2" w16cid:durableId="78330856">
    <w:abstractNumId w:val="0"/>
  </w:num>
  <w:num w:numId="3" w16cid:durableId="126264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E1"/>
    <w:rsid w:val="00254DB1"/>
    <w:rsid w:val="005822E1"/>
    <w:rsid w:val="00E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1173"/>
  <w15:docId w15:val="{D1CF5E9D-66E4-47D9-8D90-DAA34D2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davidhusmanconsult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Halmes</dc:creator>
  <cp:keywords/>
  <dc:description/>
  <cp:lastModifiedBy>David Husman</cp:lastModifiedBy>
  <cp:revision>4</cp:revision>
  <dcterms:created xsi:type="dcterms:W3CDTF">2021-04-08T19:15:00Z</dcterms:created>
  <dcterms:modified xsi:type="dcterms:W3CDTF">2024-03-11T15:13:00Z</dcterms:modified>
</cp:coreProperties>
</file>